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882DF7">
        <w:rPr>
          <w:rFonts w:ascii="Times New Roman" w:hAnsi="Times New Roman" w:cs="Times New Roman"/>
          <w:b/>
          <w:sz w:val="24"/>
          <w:szCs w:val="24"/>
        </w:rPr>
        <w:t xml:space="preserve"> VIII</w:t>
      </w:r>
      <w:bookmarkStart w:id="0" w:name="_GoBack"/>
      <w:bookmarkEnd w:id="0"/>
    </w:p>
    <w:p w:rsidR="00C06BC4" w:rsidRP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MUNICÍPIO DE FAXINAL DO SOTURNO</w:t>
      </w: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ÍNDICE</w:t>
      </w:r>
      <w:r w:rsidR="000E1135">
        <w:rPr>
          <w:rFonts w:ascii="Times New Roman" w:hAnsi="Times New Roman" w:cs="Times New Roman"/>
          <w:b/>
          <w:sz w:val="24"/>
          <w:szCs w:val="24"/>
        </w:rPr>
        <w:t xml:space="preserve">S CONTÁBEIS </w:t>
      </w:r>
    </w:p>
    <w:p w:rsidR="009E6299" w:rsidRPr="000E1135" w:rsidRDefault="00C06BC4" w:rsidP="000E1135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Objeto: 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Com vistas a atender o disposto no artigo 31 da Lei Federal 8.666/93, a Administração prevê no Edital de licitações a exigência de índices contábeis para a comprovação da boa situação financeira das empresas licitantes, sejam eles: liquidez corrente, liquidez geral e solvência geral.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O Município conclui que o índice mínimo 1,00, exigido no Edital de licitação, para liquidez corrente, liquidez geral solvência geral são os aceitáveis para a Administração Pública, como descreve abaixo: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Liquidez Corrente: O índice mínimo 1,00 representa que a empresa licitante tem condições de arcar com as dívidas e obrigações de curto prazo. Abaixo desse índice indicaria que a empresa está operando com capital circulante líquido negativo, o que não daria segurança ao Município no cumprimento do contrato.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Liquidez Geral: Indica quanto a empresa licitante possui de circulante e realizável </w:t>
      </w:r>
      <w:proofErr w:type="gramStart"/>
      <w:r>
        <w:rPr>
          <w:rFonts w:ascii="Times New Roman" w:hAnsi="Times New Roman" w:cs="Times New Roman"/>
          <w:sz w:val="24"/>
          <w:szCs w:val="24"/>
        </w:rPr>
        <w:t>a longo prazo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para cada R$ 1,00 de dívida total, dessa forma a solicitação de índice mínimo 1,00 equivale a empresa possuir, a longo prazo, condições de arcar com as dívidas e obrigações.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Solvência Geral: Expressa o grau de garantia que a empresa dispõe em ativos (totais) para pagamento do total de suas dívidas. </w:t>
      </w:r>
      <w:proofErr w:type="gramStart"/>
      <w:r>
        <w:rPr>
          <w:rFonts w:ascii="Times New Roman" w:hAnsi="Times New Roman" w:cs="Times New Roman"/>
          <w:sz w:val="24"/>
          <w:szCs w:val="24"/>
        </w:rPr>
        <w:t>Envolve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além dos recursos líquidos, também os permanentes.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Sendo assim, o índice mínimo maior que 1,00 é </w:t>
      </w:r>
      <w:proofErr w:type="gramStart"/>
      <w:r>
        <w:rPr>
          <w:rFonts w:ascii="Times New Roman" w:hAnsi="Times New Roman" w:cs="Times New Roman"/>
          <w:sz w:val="24"/>
          <w:szCs w:val="24"/>
        </w:rPr>
        <w:t>indispensável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à comprovação da boa situação financeira, sendo certo que quanto maior o resultado, melhor é a condição da empresa licitante.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Desta forma, atende plenamente a Lei Federal 8.666/93 limitando-se a exigir índices que demonstrem a capacidade financeira dos licitantes com vistas ao compromisso a ser assumido para plena execução do contrato.</w:t>
      </w:r>
    </w:p>
    <w:p w:rsidR="009E6299" w:rsidRDefault="009E6299">
      <w:pPr>
        <w:pStyle w:val="Padro"/>
        <w:jc w:val="both"/>
      </w:pPr>
    </w:p>
    <w:p w:rsidR="009E6299" w:rsidRDefault="009E6299">
      <w:pPr>
        <w:pStyle w:val="Padro"/>
        <w:jc w:val="both"/>
      </w:pPr>
    </w:p>
    <w:sectPr w:rsidR="009E6299">
      <w:pgSz w:w="11906" w:h="16838"/>
      <w:pgMar w:top="2268" w:right="1134" w:bottom="1418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E6299"/>
    <w:rsid w:val="000E1135"/>
    <w:rsid w:val="00882DF7"/>
    <w:rsid w:val="009E6299"/>
    <w:rsid w:val="00C0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SimSun" w:hAnsi="Calibri" w:cs="Calibri"/>
      <w:lang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Lucida San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269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Admin</cp:lastModifiedBy>
  <cp:revision>5</cp:revision>
  <dcterms:created xsi:type="dcterms:W3CDTF">2018-08-09T13:41:00Z</dcterms:created>
  <dcterms:modified xsi:type="dcterms:W3CDTF">2019-09-30T17:15:00Z</dcterms:modified>
</cp:coreProperties>
</file>