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7B6303E7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</w:t>
      </w:r>
      <w:r w:rsidR="0057162F">
        <w:rPr>
          <w:rFonts w:ascii="Calibri" w:hAnsi="Calibri" w:cs="Calibri"/>
          <w:sz w:val="24"/>
          <w:szCs w:val="24"/>
        </w:rPr>
        <w:t>XX/</w:t>
      </w:r>
      <w:r w:rsidR="001B22D2">
        <w:rPr>
          <w:rFonts w:ascii="Calibri" w:hAnsi="Calibri" w:cs="Calibri"/>
          <w:sz w:val="24"/>
          <w:szCs w:val="24"/>
        </w:rPr>
        <w:t>2025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57162F">
        <w:rPr>
          <w:rFonts w:ascii="Calibri" w:hAnsi="Calibri" w:cs="Calibri"/>
          <w:color w:val="000000" w:themeColor="text1"/>
          <w:sz w:val="24"/>
          <w:szCs w:val="24"/>
        </w:rPr>
        <w:t>nº XX/</w:t>
      </w:r>
      <w:r w:rsidR="001B22D2">
        <w:rPr>
          <w:rFonts w:ascii="Calibri" w:hAnsi="Calibri" w:cs="Calibri"/>
          <w:sz w:val="24"/>
          <w:szCs w:val="24"/>
        </w:rPr>
        <w:t>2025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930B4C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57162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 Município de </w:t>
      </w:r>
      <w:r w:rsidR="009C3CE6">
        <w:rPr>
          <w:rFonts w:ascii="Calibri" w:hAnsi="Calibri" w:cs="Calibri"/>
          <w:color w:val="000000" w:themeColor="text1"/>
          <w:sz w:val="24"/>
          <w:szCs w:val="24"/>
        </w:rPr>
        <w:t>Restinga Sêca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, neste ato representado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>pelo Prefeito Municipal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, Senhor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Paulo </w:t>
      </w:r>
      <w:r w:rsidR="00150DDD">
        <w:rPr>
          <w:rFonts w:ascii="Calibri" w:hAnsi="Calibri" w:cs="Calibri"/>
          <w:color w:val="000000" w:themeColor="text1"/>
          <w:sz w:val="24"/>
          <w:szCs w:val="24"/>
        </w:rPr>
        <w:t>Norton Soares da Rosa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63C85185" w:rsidR="003F0A79" w:rsidRPr="00C92E8F" w:rsidRDefault="00B1033D">
      <w:pPr>
        <w:spacing w:after="100"/>
        <w:ind w:left="1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6.1 São obrigações da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>Prefeitura Municipal: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25E6FE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C92E8F">
        <w:rPr>
          <w:rFonts w:ascii="Calibri" w:hAnsi="Calibri" w:cs="Calibri"/>
          <w:sz w:val="24"/>
          <w:szCs w:val="24"/>
        </w:rPr>
        <w:t xml:space="preserve"> </w:t>
      </w:r>
      <w:bookmarkStart w:id="0" w:name="_Hlk181794110"/>
      <w:r w:rsidR="00C92E8F" w:rsidRPr="00C92E8F">
        <w:rPr>
          <w:rFonts w:ascii="Calibri" w:hAnsi="Calibri" w:cs="Calibri"/>
          <w:sz w:val="24"/>
          <w:szCs w:val="24"/>
        </w:rPr>
        <w:t xml:space="preserve">Secretaria Municipal do </w:t>
      </w:r>
      <w:bookmarkEnd w:id="0"/>
      <w:r w:rsidR="004E6EEC" w:rsidRPr="00C92E8F">
        <w:rPr>
          <w:rFonts w:ascii="Calibri" w:hAnsi="Calibri" w:cs="Calibri"/>
          <w:color w:val="000000" w:themeColor="text1"/>
          <w:sz w:val="24"/>
          <w:szCs w:val="24"/>
        </w:rPr>
        <w:t>Turismo</w:t>
      </w:r>
      <w:r w:rsidR="004E6EEC">
        <w:rPr>
          <w:rFonts w:ascii="Calibri" w:hAnsi="Calibri" w:cs="Calibri"/>
          <w:color w:val="000000" w:themeColor="text1"/>
          <w:sz w:val="24"/>
          <w:szCs w:val="24"/>
        </w:rPr>
        <w:t>, Cultura e Esporte</w:t>
      </w:r>
      <w:r w:rsidR="004E6EEC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por meio de Relatório de Execução do Objeto, apresentado no prazo máximo de</w:t>
      </w:r>
      <w:r w:rsidR="00C92E8F">
        <w:rPr>
          <w:rFonts w:ascii="Calibri" w:hAnsi="Calibri" w:cs="Calibri"/>
          <w:sz w:val="24"/>
          <w:szCs w:val="24"/>
        </w:rPr>
        <w:t xml:space="preserve"> 60 (sessenta) dias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7D1AA7C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C92E8F">
        <w:rPr>
          <w:rFonts w:ascii="Calibri" w:hAnsi="Calibri" w:cs="Calibri"/>
          <w:sz w:val="24"/>
          <w:szCs w:val="24"/>
        </w:rPr>
        <w:t xml:space="preserve">a </w:t>
      </w:r>
      <w:r w:rsidR="00C92E8F" w:rsidRPr="00C92E8F">
        <w:rPr>
          <w:rFonts w:ascii="Calibri" w:hAnsi="Calibri" w:cs="Calibri"/>
          <w:sz w:val="24"/>
          <w:szCs w:val="24"/>
        </w:rPr>
        <w:t xml:space="preserve">Secretaria Municipal do </w:t>
      </w:r>
      <w:r w:rsidR="004E6EEC" w:rsidRPr="00C92E8F">
        <w:rPr>
          <w:rFonts w:ascii="Calibri" w:hAnsi="Calibri" w:cs="Calibri"/>
          <w:color w:val="000000" w:themeColor="text1"/>
          <w:sz w:val="24"/>
          <w:szCs w:val="24"/>
        </w:rPr>
        <w:t>Turismo</w:t>
      </w:r>
      <w:r w:rsidR="004E6EEC">
        <w:rPr>
          <w:rFonts w:ascii="Calibri" w:hAnsi="Calibri" w:cs="Calibri"/>
          <w:color w:val="000000" w:themeColor="text1"/>
          <w:sz w:val="24"/>
          <w:szCs w:val="24"/>
        </w:rPr>
        <w:t>, Cultura e Esporte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BA2B3DA" w14:textId="22148E98" w:rsidR="007B4602" w:rsidRPr="00C92E8F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92E8F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7. PRESTAÇÃO DE INFORMAÇÕES EM RELATÓRIO DE EXECUÇÃO DO OBJETO</w:t>
      </w:r>
    </w:p>
    <w:p w14:paraId="00000030" w14:textId="7C87258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C92E8F">
        <w:rPr>
          <w:rFonts w:ascii="Calibri" w:hAnsi="Calibri" w:cs="Calibri"/>
          <w:sz w:val="24"/>
          <w:szCs w:val="24"/>
        </w:rPr>
        <w:t>6</w:t>
      </w:r>
      <w:r w:rsidR="00B4424E">
        <w:rPr>
          <w:rFonts w:ascii="Calibri" w:hAnsi="Calibri" w:cs="Calibri"/>
          <w:sz w:val="24"/>
          <w:szCs w:val="24"/>
        </w:rPr>
        <w:t>0</w:t>
      </w:r>
      <w:r w:rsidR="00C92E8F">
        <w:rPr>
          <w:rFonts w:ascii="Calibri" w:hAnsi="Calibri" w:cs="Calibri"/>
          <w:sz w:val="24"/>
          <w:szCs w:val="24"/>
        </w:rPr>
        <w:t xml:space="preserve"> (sessenta)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62BB7CA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C92E8F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E40F16" w:rsidRPr="00C92E8F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.1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>A Secretaria Municipal do Turismo</w:t>
      </w:r>
      <w:r w:rsidR="004E6EEC">
        <w:rPr>
          <w:rFonts w:ascii="Calibri" w:hAnsi="Calibri" w:cs="Calibri"/>
          <w:color w:val="000000" w:themeColor="text1"/>
          <w:sz w:val="24"/>
          <w:szCs w:val="24"/>
        </w:rPr>
        <w:t>, Cultura e Esporte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 será responsável pelo </w:t>
      </w:r>
      <w:r w:rsidR="00C92E8F">
        <w:rPr>
          <w:rFonts w:ascii="Calibri" w:hAnsi="Calibri" w:cs="Calibri"/>
          <w:sz w:val="24"/>
          <w:szCs w:val="24"/>
        </w:rPr>
        <w:t xml:space="preserve">monitoramento e controle dos resultados das propostas. 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3008EF2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12 (doze) meses 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podendo ser prorrogado por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>até 180 (cento e oitenta) dias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0A97860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</w:t>
      </w:r>
      <w:r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xtrato do Termo de Execução Cultural será publicado no 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site do Município de </w:t>
      </w:r>
      <w:r w:rsidR="00150DDD">
        <w:rPr>
          <w:rFonts w:ascii="Calibri" w:hAnsi="Calibri" w:cs="Calibri"/>
          <w:color w:val="000000" w:themeColor="text1"/>
          <w:sz w:val="24"/>
          <w:szCs w:val="24"/>
        </w:rPr>
        <w:t>Restinga Sêca</w:t>
      </w:r>
      <w:r w:rsidR="00C92E8F" w:rsidRPr="00C92E8F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05CD77D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C92E8F">
        <w:rPr>
          <w:rFonts w:ascii="Calibri" w:hAnsi="Calibri" w:cs="Calibri"/>
          <w:sz w:val="24"/>
          <w:szCs w:val="24"/>
        </w:rPr>
        <w:t xml:space="preserve"> </w:t>
      </w:r>
      <w:r w:rsidR="0064030E">
        <w:rPr>
          <w:rFonts w:ascii="Calibri" w:hAnsi="Calibri" w:cs="Calibri"/>
          <w:sz w:val="24"/>
          <w:szCs w:val="24"/>
        </w:rPr>
        <w:t>Restinga Sêca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4500E25" w:rsidR="003F0A79" w:rsidRPr="000F607B" w:rsidRDefault="001B22D2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Restinga Sêca</w:t>
      </w:r>
      <w:r w:rsidR="00B1033D" w:rsidRPr="000F607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XX de XXX de 2025</w:t>
      </w:r>
      <w:r w:rsidR="00B1033D" w:rsidRPr="000F607B">
        <w:rPr>
          <w:rFonts w:ascii="Calibri" w:hAnsi="Calibri" w:cs="Calibri"/>
          <w:sz w:val="24"/>
          <w:szCs w:val="24"/>
        </w:rPr>
        <w:t>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336994A1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7477A599" w14:textId="2D18D8DE" w:rsidR="00C92E8F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2D4480E9" w14:textId="38123054" w:rsidR="00C92E8F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2CD4DD82" w14:textId="77777777" w:rsidR="00C92E8F" w:rsidRPr="000F607B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3" w14:textId="798B5553" w:rsidR="003F0A79" w:rsidRPr="00C92E8F" w:rsidRDefault="00150DDD" w:rsidP="00C92E8F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NORTON SOARES DA ROSA</w:t>
      </w:r>
    </w:p>
    <w:p w14:paraId="112CDE20" w14:textId="7AD363CD" w:rsidR="00C92E8F" w:rsidRPr="00C92E8F" w:rsidRDefault="00C92E8F" w:rsidP="00C92E8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92E8F">
        <w:rPr>
          <w:rFonts w:ascii="Calibri" w:hAnsi="Calibri" w:cs="Calibri"/>
          <w:b/>
          <w:bCs/>
          <w:sz w:val="24"/>
          <w:szCs w:val="24"/>
        </w:rPr>
        <w:t>Prefeito Municipal</w:t>
      </w:r>
    </w:p>
    <w:p w14:paraId="49F86A80" w14:textId="5A1A9940" w:rsidR="00C92E8F" w:rsidRDefault="00C92E8F" w:rsidP="00C92E8F">
      <w:pPr>
        <w:jc w:val="center"/>
        <w:rPr>
          <w:rFonts w:ascii="Calibri" w:hAnsi="Calibri" w:cs="Calibri"/>
          <w:sz w:val="24"/>
          <w:szCs w:val="24"/>
        </w:rPr>
      </w:pPr>
    </w:p>
    <w:p w14:paraId="49760F01" w14:textId="77777777" w:rsidR="00C92E8F" w:rsidRPr="000F607B" w:rsidRDefault="00C92E8F" w:rsidP="00C92E8F">
      <w:pPr>
        <w:jc w:val="center"/>
        <w:rPr>
          <w:rFonts w:ascii="Calibri" w:hAnsi="Calibri" w:cs="Calibri"/>
          <w:sz w:val="24"/>
          <w:szCs w:val="24"/>
        </w:rPr>
      </w:pPr>
    </w:p>
    <w:p w14:paraId="00000074" w14:textId="7D4299A4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7F0D2B79" w14:textId="3749CDC0" w:rsidR="00C92E8F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2566FDEB" w14:textId="7B27D890" w:rsidR="00C92E8F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2AC155B" w14:textId="5EBC2670" w:rsidR="00C92E8F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731B837B" w14:textId="77777777" w:rsidR="00C92E8F" w:rsidRPr="000F607B" w:rsidRDefault="00C92E8F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4B63" w14:textId="77777777" w:rsidR="002810B5" w:rsidRDefault="002810B5" w:rsidP="00264109">
      <w:pPr>
        <w:spacing w:line="240" w:lineRule="auto"/>
      </w:pPr>
      <w:r>
        <w:separator/>
      </w:r>
    </w:p>
  </w:endnote>
  <w:endnote w:type="continuationSeparator" w:id="0">
    <w:p w14:paraId="7C271D31" w14:textId="77777777" w:rsidR="002810B5" w:rsidRDefault="002810B5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EE17" w14:textId="77777777" w:rsidR="002810B5" w:rsidRDefault="002810B5" w:rsidP="00264109">
      <w:pPr>
        <w:spacing w:line="240" w:lineRule="auto"/>
      </w:pPr>
      <w:r>
        <w:separator/>
      </w:r>
    </w:p>
  </w:footnote>
  <w:footnote w:type="continuationSeparator" w:id="0">
    <w:p w14:paraId="73ADC289" w14:textId="77777777" w:rsidR="002810B5" w:rsidRDefault="002810B5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8449" w14:textId="3705E5F4" w:rsidR="00C92E8F" w:rsidRDefault="00C92E8F">
    <w:pPr>
      <w:pStyle w:val="Cabealho"/>
    </w:pPr>
    <w:r w:rsidRPr="00C92E8F">
      <w:rPr>
        <w:noProof/>
      </w:rPr>
      <w:drawing>
        <wp:anchor distT="0" distB="0" distL="114300" distR="114300" simplePos="0" relativeHeight="251661312" behindDoc="1" locked="0" layoutInCell="1" allowOverlap="1" wp14:anchorId="0BAA2950" wp14:editId="7C102CF9">
          <wp:simplePos x="0" y="0"/>
          <wp:positionH relativeFrom="margin">
            <wp:posOffset>41910</wp:posOffset>
          </wp:positionH>
          <wp:positionV relativeFrom="paragraph">
            <wp:posOffset>9524365</wp:posOffset>
          </wp:positionV>
          <wp:extent cx="640715" cy="6407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tin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2E8F">
      <w:rPr>
        <w:noProof/>
      </w:rPr>
      <w:drawing>
        <wp:anchor distT="0" distB="0" distL="114300" distR="114300" simplePos="0" relativeHeight="251660288" behindDoc="1" locked="0" layoutInCell="1" allowOverlap="1" wp14:anchorId="4701A35F" wp14:editId="5FB9F59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2E8F">
      <w:rPr>
        <w:noProof/>
      </w:rPr>
      <w:drawing>
        <wp:anchor distT="0" distB="0" distL="114300" distR="114300" simplePos="0" relativeHeight="251659264" behindDoc="1" locked="0" layoutInCell="1" allowOverlap="1" wp14:anchorId="676412AF" wp14:editId="44DCA530">
          <wp:simplePos x="0" y="0"/>
          <wp:positionH relativeFrom="column">
            <wp:posOffset>4193540</wp:posOffset>
          </wp:positionH>
          <wp:positionV relativeFrom="paragraph">
            <wp:posOffset>9571990</wp:posOffset>
          </wp:positionV>
          <wp:extent cx="2181225" cy="6388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1529">
    <w:abstractNumId w:val="0"/>
  </w:num>
  <w:num w:numId="2" w16cid:durableId="49125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50DDD"/>
    <w:rsid w:val="001B22D2"/>
    <w:rsid w:val="001D6033"/>
    <w:rsid w:val="0020255D"/>
    <w:rsid w:val="00264109"/>
    <w:rsid w:val="00277E52"/>
    <w:rsid w:val="002810B5"/>
    <w:rsid w:val="002B3712"/>
    <w:rsid w:val="002C1147"/>
    <w:rsid w:val="002E6613"/>
    <w:rsid w:val="003B2096"/>
    <w:rsid w:val="003F0A79"/>
    <w:rsid w:val="00405406"/>
    <w:rsid w:val="00406B4A"/>
    <w:rsid w:val="00412B00"/>
    <w:rsid w:val="00414AAC"/>
    <w:rsid w:val="004220F0"/>
    <w:rsid w:val="00491C2B"/>
    <w:rsid w:val="004B43D2"/>
    <w:rsid w:val="004E6EEC"/>
    <w:rsid w:val="004F1066"/>
    <w:rsid w:val="005259B8"/>
    <w:rsid w:val="0056792D"/>
    <w:rsid w:val="0057162F"/>
    <w:rsid w:val="0064030E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C3CE6"/>
    <w:rsid w:val="009E10B0"/>
    <w:rsid w:val="009F4C5C"/>
    <w:rsid w:val="00A10607"/>
    <w:rsid w:val="00A20A1C"/>
    <w:rsid w:val="00A55076"/>
    <w:rsid w:val="00AB2D02"/>
    <w:rsid w:val="00AB56A3"/>
    <w:rsid w:val="00AE2225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2E8F"/>
    <w:rsid w:val="00C96036"/>
    <w:rsid w:val="00CB12D4"/>
    <w:rsid w:val="00CD2641"/>
    <w:rsid w:val="00D4053C"/>
    <w:rsid w:val="00D62ABC"/>
    <w:rsid w:val="00D64AF8"/>
    <w:rsid w:val="00D8782A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1960</Words>
  <Characters>10587</Characters>
  <Application>Microsoft Office Word</Application>
  <DocSecurity>0</DocSecurity>
  <Lines>88</Lines>
  <Paragraphs>25</Paragraphs>
  <ScaleCrop>false</ScaleCrop>
  <Company>MTUR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Fredi Rodrigues Camargo</cp:lastModifiedBy>
  <cp:revision>76</cp:revision>
  <cp:lastPrinted>2024-05-20T16:45:00Z</cp:lastPrinted>
  <dcterms:created xsi:type="dcterms:W3CDTF">2024-04-04T15:18:00Z</dcterms:created>
  <dcterms:modified xsi:type="dcterms:W3CDTF">2025-04-11T18:16:00Z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